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9A" w:rsidRDefault="006D1F9A" w:rsidP="00784A0C">
      <w:pPr>
        <w:spacing w:after="120"/>
        <w:jc w:val="center"/>
        <w:rPr>
          <w:rFonts w:ascii="Century" w:hAnsi="Century"/>
          <w:b/>
          <w:sz w:val="28"/>
          <w:szCs w:val="28"/>
        </w:rPr>
      </w:pPr>
      <w:bookmarkStart w:id="0" w:name="_GoBack"/>
      <w:bookmarkEnd w:id="0"/>
      <w:r>
        <w:rPr>
          <w:rFonts w:ascii="Century" w:hAnsi="Century"/>
          <w:b/>
          <w:noProof/>
          <w:sz w:val="28"/>
          <w:szCs w:val="28"/>
        </w:rPr>
        <w:drawing>
          <wp:inline distT="0" distB="0" distL="0" distR="0">
            <wp:extent cx="878679" cy="914400"/>
            <wp:effectExtent l="0" t="0" r="0" b="0"/>
            <wp:docPr id="1" name="Picture 1" descr="C:\Users\Jayne Bremer\AppData\Local\Microsoft\Windows\Temporary Internet Files\Content.IE5\IVC5RNCC\MC9003914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 Bremer\AppData\Local\Microsoft\Windows\Temporary Internet Files\Content.IE5\IVC5RNCC\MC90039141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748" cy="914472"/>
                    </a:xfrm>
                    <a:prstGeom prst="rect">
                      <a:avLst/>
                    </a:prstGeom>
                    <a:noFill/>
                    <a:ln>
                      <a:noFill/>
                    </a:ln>
                  </pic:spPr>
                </pic:pic>
              </a:graphicData>
            </a:graphic>
          </wp:inline>
        </w:drawing>
      </w:r>
      <w:r>
        <w:rPr>
          <w:rFonts w:ascii="Century" w:hAnsi="Century"/>
          <w:b/>
          <w:noProof/>
          <w:sz w:val="28"/>
          <w:szCs w:val="28"/>
        </w:rPr>
        <w:drawing>
          <wp:inline distT="0" distB="0" distL="0" distR="0">
            <wp:extent cx="866775" cy="914400"/>
            <wp:effectExtent l="0" t="0" r="9525" b="0"/>
            <wp:docPr id="2" name="Picture 2" descr="C:\Users\Jayne Bremer\AppData\Local\Microsoft\Windows\Temporary Internet Files\Content.IE5\2YY2MR7M\MC900389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ne Bremer\AppData\Local\Microsoft\Windows\Temporary Internet Files\Content.IE5\2YY2MR7M\MC90038939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Pr>
          <w:rFonts w:ascii="Century" w:hAnsi="Century"/>
          <w:b/>
          <w:noProof/>
          <w:sz w:val="28"/>
          <w:szCs w:val="28"/>
        </w:rPr>
        <w:drawing>
          <wp:inline distT="0" distB="0" distL="0" distR="0">
            <wp:extent cx="672473" cy="866692"/>
            <wp:effectExtent l="0" t="0" r="0" b="0"/>
            <wp:docPr id="3" name="Picture 3" descr="C:\Users\Jayne Bremer\AppData\Local\Microsoft\Windows\Temporary Internet Files\Content.IE5\HWD1O3EP\MC900250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Bremer\AppData\Local\Microsoft\Windows\Temporary Internet Files\Content.IE5\HWD1O3EP\MC9002505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73" cy="866692"/>
                    </a:xfrm>
                    <a:prstGeom prst="rect">
                      <a:avLst/>
                    </a:prstGeom>
                    <a:noFill/>
                    <a:ln>
                      <a:noFill/>
                    </a:ln>
                  </pic:spPr>
                </pic:pic>
              </a:graphicData>
            </a:graphic>
          </wp:inline>
        </w:drawing>
      </w:r>
      <w:r>
        <w:rPr>
          <w:rFonts w:ascii="Century" w:hAnsi="Century"/>
          <w:b/>
          <w:noProof/>
          <w:sz w:val="28"/>
          <w:szCs w:val="28"/>
        </w:rPr>
        <w:drawing>
          <wp:inline distT="0" distB="0" distL="0" distR="0">
            <wp:extent cx="596272" cy="710167"/>
            <wp:effectExtent l="0" t="0" r="0" b="0"/>
            <wp:docPr id="4" name="Picture 4" descr="C:\Users\Jayne Bremer\AppData\Local\Microsoft\Windows\Temporary Internet Files\Content.IE5\SSZ0Q34W\MC9003912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ne Bremer\AppData\Local\Microsoft\Windows\Temporary Internet Files\Content.IE5\SSZ0Q34W\MC9003912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342" cy="710250"/>
                    </a:xfrm>
                    <a:prstGeom prst="rect">
                      <a:avLst/>
                    </a:prstGeom>
                    <a:noFill/>
                    <a:ln>
                      <a:noFill/>
                    </a:ln>
                  </pic:spPr>
                </pic:pic>
              </a:graphicData>
            </a:graphic>
          </wp:inline>
        </w:drawing>
      </w:r>
    </w:p>
    <w:p w:rsidR="006D1F9A" w:rsidRPr="003712FA" w:rsidRDefault="006D1F9A" w:rsidP="00784A0C">
      <w:pPr>
        <w:jc w:val="center"/>
        <w:rPr>
          <w:rFonts w:ascii="Century" w:hAnsi="Century"/>
          <w:b/>
          <w:sz w:val="8"/>
          <w:szCs w:val="28"/>
        </w:rPr>
      </w:pPr>
    </w:p>
    <w:p w:rsidR="00100176" w:rsidRPr="00DA4AE1" w:rsidRDefault="00100176" w:rsidP="00784A0C">
      <w:pPr>
        <w:jc w:val="center"/>
        <w:rPr>
          <w:rFonts w:ascii="Century" w:hAnsi="Century"/>
          <w:b/>
          <w:sz w:val="28"/>
          <w:szCs w:val="28"/>
        </w:rPr>
      </w:pPr>
      <w:r w:rsidRPr="00DA4AE1">
        <w:rPr>
          <w:rFonts w:ascii="Century" w:hAnsi="Century"/>
          <w:b/>
          <w:sz w:val="28"/>
          <w:szCs w:val="28"/>
        </w:rPr>
        <w:t>Person County Housing Collaborative Minutes</w:t>
      </w:r>
    </w:p>
    <w:p w:rsidR="00100176" w:rsidRPr="00DA4AE1" w:rsidRDefault="00C43364" w:rsidP="00784A0C">
      <w:pPr>
        <w:jc w:val="center"/>
        <w:rPr>
          <w:rFonts w:ascii="Century" w:hAnsi="Century"/>
          <w:b/>
          <w:sz w:val="28"/>
          <w:szCs w:val="28"/>
        </w:rPr>
      </w:pPr>
      <w:r>
        <w:rPr>
          <w:rFonts w:ascii="Century" w:hAnsi="Century"/>
          <w:b/>
          <w:sz w:val="28"/>
          <w:szCs w:val="28"/>
        </w:rPr>
        <w:t>December 11, 2013</w:t>
      </w:r>
    </w:p>
    <w:p w:rsidR="001573D7" w:rsidRPr="00DA4AE1" w:rsidRDefault="001573D7" w:rsidP="001573D7">
      <w:pPr>
        <w:jc w:val="center"/>
        <w:rPr>
          <w:rFonts w:ascii="Century" w:hAnsi="Century"/>
          <w:b/>
          <w:sz w:val="28"/>
          <w:szCs w:val="28"/>
        </w:rPr>
      </w:pPr>
      <w:r w:rsidRPr="00DA4AE1">
        <w:rPr>
          <w:rFonts w:ascii="Century" w:hAnsi="Century"/>
          <w:b/>
          <w:sz w:val="28"/>
          <w:szCs w:val="28"/>
        </w:rPr>
        <w:t xml:space="preserve">The Gardens at Chub Lake </w:t>
      </w:r>
    </w:p>
    <w:p w:rsidR="00100176" w:rsidRPr="003712FA" w:rsidRDefault="00100176" w:rsidP="00784A0C">
      <w:pPr>
        <w:jc w:val="center"/>
        <w:rPr>
          <w:rFonts w:ascii="Century" w:hAnsi="Century"/>
          <w:sz w:val="20"/>
        </w:rPr>
      </w:pPr>
    </w:p>
    <w:p w:rsidR="00C43364" w:rsidRPr="00C43364" w:rsidRDefault="00C43364" w:rsidP="00C43364">
      <w:pPr>
        <w:spacing w:after="120"/>
        <w:rPr>
          <w:rFonts w:ascii="Century" w:hAnsi="Century"/>
        </w:rPr>
      </w:pPr>
      <w:r w:rsidRPr="00C43364">
        <w:rPr>
          <w:rFonts w:ascii="Century" w:hAnsi="Century"/>
        </w:rPr>
        <w:t>Those in attendance included: Felipe Blue (FHRC), Jayne Bremer (PCUW), David Forsythe (PCGH), Deborah Tinnin (</w:t>
      </w:r>
      <w:r>
        <w:rPr>
          <w:rFonts w:ascii="Century" w:hAnsi="Century"/>
        </w:rPr>
        <w:t xml:space="preserve">PCHD), Cynthia Wilson (CHC), </w:t>
      </w:r>
      <w:r w:rsidRPr="00C43364">
        <w:rPr>
          <w:rFonts w:ascii="Century" w:hAnsi="Century"/>
        </w:rPr>
        <w:t>Judi Akers (DSS); Todd Boycher (RPD), Spencer Cook (CIHS), Graydon Spivey (PCH</w:t>
      </w:r>
      <w:r>
        <w:rPr>
          <w:rFonts w:ascii="Century" w:hAnsi="Century"/>
        </w:rPr>
        <w:t xml:space="preserve">FH), and Cathy Waugh (PCS) </w:t>
      </w:r>
    </w:p>
    <w:p w:rsidR="00C43364" w:rsidRPr="00C43364" w:rsidRDefault="00C43364" w:rsidP="00C43364">
      <w:pPr>
        <w:spacing w:after="120"/>
        <w:rPr>
          <w:rFonts w:ascii="Century" w:hAnsi="Century"/>
        </w:rPr>
      </w:pPr>
      <w:r w:rsidRPr="00C43364">
        <w:rPr>
          <w:rFonts w:ascii="Century" w:hAnsi="Century"/>
        </w:rPr>
        <w:t xml:space="preserve">An updated roster was sent around for clarification of members. The following people were removed: Janet Harris, Tony Smith, Toni Carrington, Annette Hampton, Clyde Kelly, Michael Vanney, Anita Meeks, Sharon McNeil, Namon Poole, and Mary Stanfield. </w:t>
      </w:r>
    </w:p>
    <w:p w:rsidR="00C43364" w:rsidRPr="00C43364" w:rsidRDefault="00C43364" w:rsidP="00C43364">
      <w:pPr>
        <w:spacing w:after="120"/>
        <w:rPr>
          <w:rFonts w:ascii="Century" w:hAnsi="Century"/>
        </w:rPr>
      </w:pPr>
      <w:r w:rsidRPr="00C43364">
        <w:rPr>
          <w:rFonts w:ascii="Century" w:hAnsi="Century"/>
        </w:rPr>
        <w:t xml:space="preserve">Minutes from the September 10, 2013 and November 12, 2013 meetings were sent to members. No additions or corrections were made. </w:t>
      </w:r>
    </w:p>
    <w:p w:rsidR="00C43364" w:rsidRPr="00C43364" w:rsidRDefault="00C43364" w:rsidP="00C43364">
      <w:pPr>
        <w:spacing w:after="120"/>
        <w:rPr>
          <w:rFonts w:ascii="Century" w:hAnsi="Century"/>
        </w:rPr>
      </w:pPr>
      <w:r w:rsidRPr="00C43364">
        <w:rPr>
          <w:rFonts w:ascii="Century" w:hAnsi="Century"/>
        </w:rPr>
        <w:t xml:space="preserve">Agency Updates </w:t>
      </w:r>
    </w:p>
    <w:p w:rsidR="00C43364" w:rsidRPr="00C43364" w:rsidRDefault="00C43364" w:rsidP="00C43364">
      <w:pPr>
        <w:spacing w:after="120"/>
        <w:rPr>
          <w:rFonts w:ascii="Century" w:hAnsi="Century"/>
        </w:rPr>
      </w:pPr>
      <w:r w:rsidRPr="00C43364">
        <w:rPr>
          <w:rFonts w:ascii="Century" w:hAnsi="Century"/>
        </w:rPr>
        <w:t xml:space="preserve">Person County Group Homes (PCGH) – David Forsythe spoke about the changes in independent living. Tenants can select services, but the burden of card falls on the landlord. More care groups have moved to fee for service, there are more people needing services and fewer dollars to pay for services. Support systems have declined, (for example Easter Seals). </w:t>
      </w:r>
    </w:p>
    <w:p w:rsidR="00C43364" w:rsidRPr="00C43364" w:rsidRDefault="00C43364" w:rsidP="00C43364">
      <w:pPr>
        <w:spacing w:after="120"/>
        <w:rPr>
          <w:rFonts w:ascii="Century" w:hAnsi="Century"/>
        </w:rPr>
      </w:pPr>
      <w:r w:rsidRPr="00C43364">
        <w:rPr>
          <w:rFonts w:ascii="Century" w:hAnsi="Century"/>
        </w:rPr>
        <w:t xml:space="preserve">Home Health and Hospice and Person County Health Department (PCHD) –Deborah shared that every Monday a Legal Aid representative is at the Health Department to assist citizens with the Affordable Healthcare Act. See the attached flyer for more information. </w:t>
      </w:r>
    </w:p>
    <w:p w:rsidR="00C43364" w:rsidRPr="00C43364" w:rsidRDefault="00C43364" w:rsidP="00C43364">
      <w:pPr>
        <w:spacing w:after="120"/>
        <w:rPr>
          <w:rFonts w:ascii="Century" w:hAnsi="Century"/>
        </w:rPr>
      </w:pPr>
      <w:r w:rsidRPr="00C43364">
        <w:rPr>
          <w:rFonts w:ascii="Century" w:hAnsi="Century"/>
        </w:rPr>
        <w:t xml:space="preserve">Christian Help Center (CHC) – Cynthia explained the Share the Warmth program for Person County. She is trying to encourage DUKE Power to have the CHC manage the Person County dollars for this program. Currently the Salvation Army is controlling the funds and they pay 100% of each request until the money is depleted. She is frustrated because the Salvation Army has no presence in Person County. </w:t>
      </w:r>
    </w:p>
    <w:p w:rsidR="00C43364" w:rsidRPr="00C43364" w:rsidRDefault="00C43364" w:rsidP="00C43364">
      <w:pPr>
        <w:spacing w:after="120"/>
        <w:rPr>
          <w:rFonts w:ascii="Century" w:hAnsi="Century"/>
        </w:rPr>
      </w:pPr>
      <w:r w:rsidRPr="00C43364">
        <w:rPr>
          <w:rFonts w:ascii="Century" w:hAnsi="Century"/>
        </w:rPr>
        <w:t xml:space="preserve">On another front, she is working with the grocery stores to give their expired food to the CHC instead of Rev. Blackwell. His organization is promoting themselves as the Food Bank. A discussion of paying for medications arose from the food discussion. Again, more people, fewer dollars. </w:t>
      </w:r>
    </w:p>
    <w:p w:rsidR="00C43364" w:rsidRPr="00C43364" w:rsidRDefault="00C43364" w:rsidP="00C43364">
      <w:pPr>
        <w:spacing w:after="120"/>
        <w:rPr>
          <w:rFonts w:ascii="Century" w:hAnsi="Century"/>
        </w:rPr>
      </w:pPr>
      <w:r w:rsidRPr="00C43364">
        <w:rPr>
          <w:rFonts w:ascii="Century" w:hAnsi="Century"/>
        </w:rPr>
        <w:t xml:space="preserve">Freedom House (FH) – Felipe segued into the Pharmacy Assistance program at freedom House and the discussion proceeded on how to get clients to advocate for themselves. Freedom House has spent their ISP funding, however they are still serving people, they just aren’t being paid for it. 2 | P a g e </w:t>
      </w:r>
    </w:p>
    <w:p w:rsidR="00C43364" w:rsidRPr="00C43364" w:rsidRDefault="00C43364" w:rsidP="00C43364">
      <w:pPr>
        <w:spacing w:after="120"/>
        <w:rPr>
          <w:rFonts w:ascii="Century" w:hAnsi="Century"/>
        </w:rPr>
      </w:pPr>
      <w:r w:rsidRPr="00C43364">
        <w:rPr>
          <w:rFonts w:ascii="Century" w:hAnsi="Century"/>
        </w:rPr>
        <w:lastRenderedPageBreak/>
        <w:t xml:space="preserve">Person County United Way (PCUW) – The campaign is wrapping up and preliminary numbers are short of where United Way was at this same time last year. Jayne also spoke about Santa’s Helpers for Christmas. Jayne has received information about serving as the Person County Balance of State CoC – Project Review committee. She will be reviewing upcoming projects. </w:t>
      </w:r>
    </w:p>
    <w:p w:rsidR="00C43364" w:rsidRPr="00C43364" w:rsidRDefault="00C43364" w:rsidP="00C43364">
      <w:pPr>
        <w:spacing w:after="120"/>
        <w:rPr>
          <w:rFonts w:ascii="Century" w:hAnsi="Century"/>
        </w:rPr>
      </w:pPr>
      <w:r w:rsidRPr="00C43364">
        <w:rPr>
          <w:rFonts w:ascii="Century" w:hAnsi="Century"/>
        </w:rPr>
        <w:t xml:space="preserve">David mentioned the Person County Habitat for Humanity Ground breaking on the new house, this Saturday, December 14th on Front Street. All are welcome to attend. The new homeowner is Crystal Stewart. </w:t>
      </w:r>
    </w:p>
    <w:p w:rsidR="00C43364" w:rsidRPr="00C43364" w:rsidRDefault="00C43364" w:rsidP="00C43364">
      <w:pPr>
        <w:spacing w:after="120"/>
        <w:rPr>
          <w:rFonts w:ascii="Century" w:hAnsi="Century"/>
        </w:rPr>
      </w:pPr>
      <w:r w:rsidRPr="00C43364">
        <w:rPr>
          <w:rFonts w:ascii="Century" w:hAnsi="Century"/>
        </w:rPr>
        <w:t xml:space="preserve">Balance of State Update </w:t>
      </w:r>
    </w:p>
    <w:p w:rsidR="00C43364" w:rsidRPr="00C43364" w:rsidRDefault="00C43364" w:rsidP="00C43364">
      <w:pPr>
        <w:spacing w:after="120"/>
        <w:rPr>
          <w:rFonts w:ascii="Century" w:hAnsi="Century"/>
        </w:rPr>
      </w:pPr>
      <w:r w:rsidRPr="00C43364">
        <w:rPr>
          <w:rFonts w:ascii="Century" w:hAnsi="Century"/>
        </w:rPr>
        <w:t xml:space="preserve">Jayne shared the information she had about the 2014 Point-In-Time count. Conducting a Point-in-Time Count is important to our community. The count is a tally of who is homeless on a given night and provides a snapshot of who experiences homeless throughout the year. The Point-in-Time Count is a one-day, statistically reliable, unduplicated count of sheltered and unsheltered homeless individuals and families in the country. It is required that communities applying for HUD Continuum of Care funding to serve the homeless do a count each year in the last week of January. </w:t>
      </w:r>
    </w:p>
    <w:p w:rsidR="00C43364" w:rsidRPr="00C43364" w:rsidRDefault="00C43364" w:rsidP="00C43364">
      <w:pPr>
        <w:spacing w:after="120"/>
        <w:rPr>
          <w:rFonts w:ascii="Century" w:hAnsi="Century"/>
        </w:rPr>
      </w:pPr>
      <w:r w:rsidRPr="00C43364">
        <w:rPr>
          <w:rFonts w:ascii="Century" w:hAnsi="Century"/>
        </w:rPr>
        <w:t xml:space="preserve">The 2014 Point-in-Time Count will be held the night of Wednesday, January 29th . It will begin at 6pm on January 29th and end at 6pm on January 30th. On the night of the 29th, emergency shelters and transitional housing programs will count the persons who are residing in their programs (safe Haven). We will conduct our street count beginning at 10pm through out the city of Roxboro and any known county places. We are also planning on including a services-based count (counting unsheltered homeless persons at CHC, this count will be during the day of the 30th, and the CHC staff will be asking "Where did you stay last night (the 29th)?" </w:t>
      </w:r>
    </w:p>
    <w:p w:rsidR="00C43364" w:rsidRPr="00C43364" w:rsidRDefault="00C43364" w:rsidP="00C43364">
      <w:pPr>
        <w:spacing w:after="120"/>
        <w:rPr>
          <w:rFonts w:ascii="Century" w:hAnsi="Century"/>
        </w:rPr>
      </w:pPr>
      <w:r w:rsidRPr="00C43364">
        <w:rPr>
          <w:rFonts w:ascii="Century" w:hAnsi="Century"/>
        </w:rPr>
        <w:t xml:space="preserve">David has staff who will be available to assist with the count. We will fine tune our plan for the P-I-T Count at the January meeting. </w:t>
      </w:r>
    </w:p>
    <w:p w:rsidR="00C43364" w:rsidRPr="00C43364" w:rsidRDefault="00C43364" w:rsidP="00C43364">
      <w:pPr>
        <w:spacing w:after="120"/>
        <w:rPr>
          <w:rFonts w:ascii="Century" w:hAnsi="Century"/>
        </w:rPr>
      </w:pPr>
      <w:r w:rsidRPr="00C43364">
        <w:rPr>
          <w:rFonts w:ascii="Century" w:hAnsi="Century"/>
        </w:rPr>
        <w:t xml:space="preserve">As we were wrapping up a suggestion was made to see if the Housing collaborative meetings could be blended with the Cardinal Innovations quarterly meetings. It was stated that there is overlap in the two groups and most of the members of this group attend that meeting as well. Would our time be better served adding 30 minutes to an existing meeting as attending two 90 minutes meetings? This discussion item will be added to the January agenda. </w:t>
      </w:r>
    </w:p>
    <w:p w:rsidR="00C43364" w:rsidRPr="00C43364" w:rsidRDefault="00C43364" w:rsidP="00C43364">
      <w:pPr>
        <w:spacing w:after="120"/>
        <w:rPr>
          <w:rFonts w:ascii="Century" w:hAnsi="Century"/>
        </w:rPr>
      </w:pPr>
      <w:r w:rsidRPr="00C43364">
        <w:rPr>
          <w:rFonts w:ascii="Century" w:hAnsi="Century"/>
        </w:rPr>
        <w:t xml:space="preserve">Our next meeting is scheduled for Wednesday, January 15th at 10:00 am. This is a date change to accommodate the Balance of State Project Review that Jayne and Spencer will be participating in. </w:t>
      </w:r>
    </w:p>
    <w:p w:rsidR="00A11FDC" w:rsidRDefault="00C43364" w:rsidP="00C43364">
      <w:pPr>
        <w:spacing w:after="120"/>
      </w:pPr>
      <w:r w:rsidRPr="00C43364">
        <w:rPr>
          <w:rFonts w:ascii="Century" w:hAnsi="Century"/>
        </w:rPr>
        <w:t>The meeting adjourned at 11:40 am.</w:t>
      </w:r>
    </w:p>
    <w:sectPr w:rsidR="00A11FDC" w:rsidSect="003712FA">
      <w:footerReference w:type="default" r:id="rId11"/>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D9" w:rsidRDefault="000C5BD9" w:rsidP="00AE2F34">
      <w:r>
        <w:separator/>
      </w:r>
    </w:p>
  </w:endnote>
  <w:endnote w:type="continuationSeparator" w:id="0">
    <w:p w:rsidR="000C5BD9" w:rsidRDefault="000C5BD9" w:rsidP="00AE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94517"/>
      <w:docPartObj>
        <w:docPartGallery w:val="Page Numbers (Bottom of Page)"/>
        <w:docPartUnique/>
      </w:docPartObj>
    </w:sdtPr>
    <w:sdtEndPr>
      <w:rPr>
        <w:color w:val="808080" w:themeColor="background1" w:themeShade="80"/>
        <w:spacing w:val="60"/>
      </w:rPr>
    </w:sdtEndPr>
    <w:sdtContent>
      <w:p w:rsidR="00AE2F34" w:rsidRDefault="00AE2F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5BD9">
          <w:rPr>
            <w:noProof/>
          </w:rPr>
          <w:t>1</w:t>
        </w:r>
        <w:r>
          <w:rPr>
            <w:noProof/>
          </w:rPr>
          <w:fldChar w:fldCharType="end"/>
        </w:r>
        <w:r>
          <w:t xml:space="preserve"> | </w:t>
        </w:r>
        <w:r>
          <w:rPr>
            <w:color w:val="808080" w:themeColor="background1" w:themeShade="80"/>
            <w:spacing w:val="60"/>
          </w:rPr>
          <w:t>Page</w:t>
        </w:r>
      </w:p>
    </w:sdtContent>
  </w:sdt>
  <w:p w:rsidR="00AE2F34" w:rsidRDefault="00AE2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D9" w:rsidRDefault="000C5BD9" w:rsidP="00AE2F34">
      <w:r>
        <w:separator/>
      </w:r>
    </w:p>
  </w:footnote>
  <w:footnote w:type="continuationSeparator" w:id="0">
    <w:p w:rsidR="000C5BD9" w:rsidRDefault="000C5BD9" w:rsidP="00AE2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76"/>
    <w:rsid w:val="000C5BD9"/>
    <w:rsid w:val="000F41E7"/>
    <w:rsid w:val="00100176"/>
    <w:rsid w:val="00110602"/>
    <w:rsid w:val="001573D7"/>
    <w:rsid w:val="00166715"/>
    <w:rsid w:val="001E3366"/>
    <w:rsid w:val="002B1A64"/>
    <w:rsid w:val="003712FA"/>
    <w:rsid w:val="00384907"/>
    <w:rsid w:val="003B7213"/>
    <w:rsid w:val="003F0811"/>
    <w:rsid w:val="00407CC6"/>
    <w:rsid w:val="00542538"/>
    <w:rsid w:val="0057695D"/>
    <w:rsid w:val="005A0D2B"/>
    <w:rsid w:val="005D625F"/>
    <w:rsid w:val="00663D65"/>
    <w:rsid w:val="006B53CF"/>
    <w:rsid w:val="006D1F9A"/>
    <w:rsid w:val="00712B7E"/>
    <w:rsid w:val="00784A0C"/>
    <w:rsid w:val="0080599F"/>
    <w:rsid w:val="00880020"/>
    <w:rsid w:val="0096377C"/>
    <w:rsid w:val="009F3F5F"/>
    <w:rsid w:val="00A11FDC"/>
    <w:rsid w:val="00A45A7B"/>
    <w:rsid w:val="00AE2F34"/>
    <w:rsid w:val="00C43364"/>
    <w:rsid w:val="00C62863"/>
    <w:rsid w:val="00C84A25"/>
    <w:rsid w:val="00D91480"/>
    <w:rsid w:val="00EC7246"/>
    <w:rsid w:val="00ED5C6B"/>
    <w:rsid w:val="00FB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7CC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9A"/>
    <w:rPr>
      <w:rFonts w:ascii="Tahoma" w:hAnsi="Tahoma" w:cs="Tahoma"/>
      <w:sz w:val="16"/>
      <w:szCs w:val="16"/>
    </w:rPr>
  </w:style>
  <w:style w:type="character" w:customStyle="1" w:styleId="BalloonTextChar">
    <w:name w:val="Balloon Text Char"/>
    <w:basedOn w:val="DefaultParagraphFont"/>
    <w:link w:val="BalloonText"/>
    <w:uiPriority w:val="99"/>
    <w:semiHidden/>
    <w:rsid w:val="006D1F9A"/>
    <w:rPr>
      <w:rFonts w:ascii="Tahoma" w:eastAsia="Times New Roman" w:hAnsi="Tahoma" w:cs="Tahoma"/>
      <w:sz w:val="16"/>
      <w:szCs w:val="16"/>
    </w:rPr>
  </w:style>
  <w:style w:type="character" w:styleId="Hyperlink">
    <w:name w:val="Hyperlink"/>
    <w:basedOn w:val="DefaultParagraphFont"/>
    <w:uiPriority w:val="99"/>
    <w:unhideWhenUsed/>
    <w:rsid w:val="00407CC6"/>
    <w:rPr>
      <w:color w:val="0000FF"/>
      <w:u w:val="single"/>
    </w:rPr>
  </w:style>
  <w:style w:type="character" w:customStyle="1" w:styleId="Heading1Char">
    <w:name w:val="Heading 1 Char"/>
    <w:basedOn w:val="DefaultParagraphFont"/>
    <w:link w:val="Heading1"/>
    <w:uiPriority w:val="9"/>
    <w:rsid w:val="00407CC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E2F34"/>
    <w:pPr>
      <w:tabs>
        <w:tab w:val="center" w:pos="4680"/>
        <w:tab w:val="right" w:pos="9360"/>
      </w:tabs>
    </w:pPr>
  </w:style>
  <w:style w:type="character" w:customStyle="1" w:styleId="HeaderChar">
    <w:name w:val="Header Char"/>
    <w:basedOn w:val="DefaultParagraphFont"/>
    <w:link w:val="Header"/>
    <w:uiPriority w:val="99"/>
    <w:rsid w:val="00AE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F34"/>
    <w:pPr>
      <w:tabs>
        <w:tab w:val="center" w:pos="4680"/>
        <w:tab w:val="right" w:pos="9360"/>
      </w:tabs>
    </w:pPr>
  </w:style>
  <w:style w:type="character" w:customStyle="1" w:styleId="FooterChar">
    <w:name w:val="Footer Char"/>
    <w:basedOn w:val="DefaultParagraphFont"/>
    <w:link w:val="Footer"/>
    <w:uiPriority w:val="99"/>
    <w:rsid w:val="00AE2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5161">
      <w:bodyDiv w:val="1"/>
      <w:marLeft w:val="0"/>
      <w:marRight w:val="0"/>
      <w:marTop w:val="0"/>
      <w:marBottom w:val="0"/>
      <w:divBdr>
        <w:top w:val="none" w:sz="0" w:space="0" w:color="auto"/>
        <w:left w:val="none" w:sz="0" w:space="0" w:color="auto"/>
        <w:bottom w:val="none" w:sz="0" w:space="0" w:color="auto"/>
        <w:right w:val="none" w:sz="0" w:space="0" w:color="auto"/>
      </w:divBdr>
      <w:divsChild>
        <w:div w:id="158541204">
          <w:marLeft w:val="0"/>
          <w:marRight w:val="0"/>
          <w:marTop w:val="0"/>
          <w:marBottom w:val="0"/>
          <w:divBdr>
            <w:top w:val="none" w:sz="0" w:space="0" w:color="auto"/>
            <w:left w:val="none" w:sz="0" w:space="0" w:color="auto"/>
            <w:bottom w:val="none" w:sz="0" w:space="0" w:color="auto"/>
            <w:right w:val="none" w:sz="0" w:space="0" w:color="auto"/>
          </w:divBdr>
        </w:div>
        <w:div w:id="361326804">
          <w:marLeft w:val="0"/>
          <w:marRight w:val="0"/>
          <w:marTop w:val="0"/>
          <w:marBottom w:val="0"/>
          <w:divBdr>
            <w:top w:val="none" w:sz="0" w:space="0" w:color="auto"/>
            <w:left w:val="none" w:sz="0" w:space="0" w:color="auto"/>
            <w:bottom w:val="none" w:sz="0" w:space="0" w:color="auto"/>
            <w:right w:val="none" w:sz="0" w:space="0" w:color="auto"/>
          </w:divBdr>
          <w:divsChild>
            <w:div w:id="539393402">
              <w:marLeft w:val="0"/>
              <w:marRight w:val="0"/>
              <w:marTop w:val="0"/>
              <w:marBottom w:val="0"/>
              <w:divBdr>
                <w:top w:val="none" w:sz="0" w:space="0" w:color="auto"/>
                <w:left w:val="none" w:sz="0" w:space="0" w:color="auto"/>
                <w:bottom w:val="none" w:sz="0" w:space="0" w:color="auto"/>
                <w:right w:val="none" w:sz="0" w:space="0" w:color="auto"/>
              </w:divBdr>
            </w:div>
            <w:div w:id="1767269500">
              <w:marLeft w:val="0"/>
              <w:marRight w:val="0"/>
              <w:marTop w:val="0"/>
              <w:marBottom w:val="0"/>
              <w:divBdr>
                <w:top w:val="none" w:sz="0" w:space="0" w:color="auto"/>
                <w:left w:val="none" w:sz="0" w:space="0" w:color="auto"/>
                <w:bottom w:val="none" w:sz="0" w:space="0" w:color="auto"/>
                <w:right w:val="none" w:sz="0" w:space="0" w:color="auto"/>
              </w:divBdr>
            </w:div>
            <w:div w:id="422382661">
              <w:marLeft w:val="0"/>
              <w:marRight w:val="0"/>
              <w:marTop w:val="0"/>
              <w:marBottom w:val="0"/>
              <w:divBdr>
                <w:top w:val="none" w:sz="0" w:space="0" w:color="auto"/>
                <w:left w:val="none" w:sz="0" w:space="0" w:color="auto"/>
                <w:bottom w:val="none" w:sz="0" w:space="0" w:color="auto"/>
                <w:right w:val="none" w:sz="0" w:space="0" w:color="auto"/>
              </w:divBdr>
            </w:div>
            <w:div w:id="1100226304">
              <w:marLeft w:val="0"/>
              <w:marRight w:val="0"/>
              <w:marTop w:val="0"/>
              <w:marBottom w:val="0"/>
              <w:divBdr>
                <w:top w:val="none" w:sz="0" w:space="0" w:color="auto"/>
                <w:left w:val="none" w:sz="0" w:space="0" w:color="auto"/>
                <w:bottom w:val="none" w:sz="0" w:space="0" w:color="auto"/>
                <w:right w:val="none" w:sz="0" w:space="0" w:color="auto"/>
              </w:divBdr>
            </w:div>
            <w:div w:id="16487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Corey</cp:lastModifiedBy>
  <cp:revision>2</cp:revision>
  <cp:lastPrinted>2013-11-14T00:06:00Z</cp:lastPrinted>
  <dcterms:created xsi:type="dcterms:W3CDTF">2014-02-19T00:32:00Z</dcterms:created>
  <dcterms:modified xsi:type="dcterms:W3CDTF">2014-02-19T00:32:00Z</dcterms:modified>
</cp:coreProperties>
</file>